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180B40" w:rsidRDefault="00180B40" w:rsidP="00180B40">
      <w:pPr>
        <w:pageBreakBefore/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C6192E" w:rsidRPr="00180B40" w:rsidRDefault="00C6192E" w:rsidP="00180B40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к извещению о проведении аукциона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договора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A40E0A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e-mail 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A40E0A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e-mail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субъекта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(-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A40E0A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A40E0A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76A98" w:rsidRDefault="00AE16E0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92E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3</w:t>
      </w:r>
    </w:p>
    <w:p w:rsidR="00C6192E" w:rsidRPr="00576A98" w:rsidRDefault="00C6192E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проведении аукциона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Pr="00A40E0A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r w:rsidR="009456D3"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A40E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проведении аукциона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A40E0A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проведении</w:t>
      </w:r>
      <w:r w:rsidR="00C6192E" w:rsidRPr="00A40E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Arial" w:hAnsi="Times New Roman" w:cs="Times New Roman"/>
          <w:sz w:val="28"/>
          <w:szCs w:val="28"/>
        </w:rPr>
        <w:t>аукциона, регулируются законодательством Российской Федерации.</w:t>
      </w:r>
    </w:p>
    <w:p w:rsidR="00576A98" w:rsidRDefault="00576A98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</w:rPr>
        <w:t>4</w:t>
      </w: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проведении аукциона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6A98" w:rsidRPr="00A40E0A" w:rsidRDefault="00576A98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A40E0A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A40E0A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A40E0A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b/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51B04" w:rsidSect="00576A98"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CA" w:rsidRDefault="002E7CCA" w:rsidP="00AE16E0">
      <w:pPr>
        <w:spacing w:after="0" w:line="240" w:lineRule="auto"/>
      </w:pPr>
      <w:r>
        <w:separator/>
      </w:r>
    </w:p>
  </w:endnote>
  <w:endnote w:type="continuationSeparator" w:id="0">
    <w:p w:rsidR="002E7CCA" w:rsidRDefault="002E7CCA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CA" w:rsidRDefault="002E7CCA" w:rsidP="00AE16E0">
      <w:pPr>
        <w:spacing w:after="0" w:line="240" w:lineRule="auto"/>
      </w:pPr>
      <w:r>
        <w:separator/>
      </w:r>
    </w:p>
  </w:footnote>
  <w:footnote w:type="continuationSeparator" w:id="0">
    <w:p w:rsidR="002E7CCA" w:rsidRDefault="002E7CCA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463944"/>
      <w:docPartObj>
        <w:docPartGallery w:val="Page Numbers (Top of Page)"/>
        <w:docPartUnique/>
      </w:docPartObj>
    </w:sdtPr>
    <w:sdtContent>
      <w:p w:rsidR="00576A98" w:rsidRDefault="00576A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76A98" w:rsidRDefault="00576A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0C00"/>
    <w:rsid w:val="00146797"/>
    <w:rsid w:val="001600C9"/>
    <w:rsid w:val="00160567"/>
    <w:rsid w:val="0016625B"/>
    <w:rsid w:val="00170874"/>
    <w:rsid w:val="00172781"/>
    <w:rsid w:val="00180B40"/>
    <w:rsid w:val="001905D9"/>
    <w:rsid w:val="001909C3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51B04"/>
    <w:rsid w:val="00265F04"/>
    <w:rsid w:val="00270836"/>
    <w:rsid w:val="002A5C1D"/>
    <w:rsid w:val="002B0FBB"/>
    <w:rsid w:val="002E3252"/>
    <w:rsid w:val="002E3B09"/>
    <w:rsid w:val="002E7CCA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76A98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0E0A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FC3C-55B6-426F-B23B-191EF44A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Любовь Федоровна Фадеева</cp:lastModifiedBy>
  <cp:revision>3</cp:revision>
  <cp:lastPrinted>2021-04-07T13:03:00Z</cp:lastPrinted>
  <dcterms:created xsi:type="dcterms:W3CDTF">2022-11-24T07:51:00Z</dcterms:created>
  <dcterms:modified xsi:type="dcterms:W3CDTF">2022-11-24T07:54:00Z</dcterms:modified>
</cp:coreProperties>
</file>